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80" w:rsidRDefault="00692C80" w:rsidP="00692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14.11.2017                                                                                           протокол №2</w:t>
      </w:r>
    </w:p>
    <w:p w:rsidR="00692C80" w:rsidRDefault="00692C80" w:rsidP="00692C80">
      <w:pPr>
        <w:tabs>
          <w:tab w:val="left" w:pos="87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92C80" w:rsidRDefault="00692C80" w:rsidP="00692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692C80" w:rsidRDefault="00692C80" w:rsidP="00692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C80" w:rsidRPr="00692C80" w:rsidRDefault="00692C80" w:rsidP="00692C80">
      <w:pPr>
        <w:pStyle w:val="a3"/>
        <w:numPr>
          <w:ilvl w:val="0"/>
          <w:numId w:val="5"/>
        </w:numPr>
        <w:tabs>
          <w:tab w:val="left" w:pos="284"/>
        </w:tabs>
        <w:autoSpaceDN w:val="0"/>
        <w:spacing w:after="0" w:line="240" w:lineRule="auto"/>
        <w:ind w:left="295" w:hanging="2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деятельности Центра международного образования.  </w:t>
      </w:r>
    </w:p>
    <w:p w:rsidR="00692C80" w:rsidRDefault="00692C80" w:rsidP="00692C80">
      <w:pPr>
        <w:pStyle w:val="a3"/>
        <w:tabs>
          <w:tab w:val="left" w:pos="284"/>
        </w:tabs>
        <w:autoSpaceDN w:val="0"/>
        <w:spacing w:after="0" w:line="240" w:lineRule="auto"/>
        <w:ind w:left="295" w:hanging="2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87F">
        <w:rPr>
          <w:rFonts w:ascii="Times New Roman" w:eastAsia="Times New Roman" w:hAnsi="Times New Roman"/>
          <w:sz w:val="28"/>
          <w:szCs w:val="28"/>
          <w:lang w:eastAsia="ru-RU"/>
        </w:rPr>
        <w:t>(Доклад директора Центра международного образования Башировой З.Г.)</w:t>
      </w:r>
    </w:p>
    <w:p w:rsidR="00692C80" w:rsidRDefault="00692C80" w:rsidP="00692C80">
      <w:pPr>
        <w:spacing w:after="0" w:line="240" w:lineRule="auto"/>
        <w:ind w:right="-1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C80" w:rsidRPr="00692C80" w:rsidRDefault="00692C80" w:rsidP="00692C80">
      <w:pPr>
        <w:spacing w:after="0" w:line="240" w:lineRule="auto"/>
        <w:ind w:right="-1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доклад директора Центра Башировой З.Г. о деятельности Центра международного образования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УлГПУ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, Учёный совет отмечает, что организация плановой и системной работы Центра в 2015–2017 гг. во взаимодействии с факультетами и структурными подразделениями позволила сформировать необходимую основу для развития международной деятельности университета. В частности:</w:t>
      </w:r>
    </w:p>
    <w:p w:rsidR="00692C80" w:rsidRPr="00692C80" w:rsidRDefault="00692C80" w:rsidP="00692C8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– разработаны и утверждены 17 нормативных правовых актов, регулирующих основные направления международной деятельности университета;</w:t>
      </w:r>
      <w:proofErr w:type="gramEnd"/>
    </w:p>
    <w:p w:rsidR="00692C80" w:rsidRPr="00692C80" w:rsidRDefault="00692C80" w:rsidP="00692C8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– организовано постоянное взаимодействие Центра с </w:t>
      </w:r>
      <w:r w:rsidRPr="00692C80">
        <w:rPr>
          <w:rFonts w:ascii="Times New Roman" w:hAnsi="Times New Roman"/>
          <w:sz w:val="28"/>
          <w:szCs w:val="28"/>
        </w:rPr>
        <w:t>Министерством образования и науки РФ, МИД РФ, Управлением внешних связей администрации губернатора Ульяновской области, Правительством Ульяновской области, иными государственными структурами, уполномоченными осуществлять контроль международной деятельности университета;</w:t>
      </w:r>
    </w:p>
    <w:p w:rsidR="00692C80" w:rsidRPr="00692C80" w:rsidRDefault="00692C80" w:rsidP="00692C8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организованы постоянная визовая поддержка, медицинское страхование и сопровождение пребывания иностранных студентов в России;</w:t>
      </w:r>
    </w:p>
    <w:p w:rsidR="00692C80" w:rsidRPr="00692C80" w:rsidRDefault="00692C80" w:rsidP="00692C8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pacing w:val="-2"/>
          <w:sz w:val="28"/>
          <w:szCs w:val="28"/>
        </w:rPr>
        <w:t xml:space="preserve">– организованы интенсивные курсы по дополнительным </w:t>
      </w:r>
      <w:proofErr w:type="spellStart"/>
      <w:r w:rsidRPr="00692C80">
        <w:rPr>
          <w:rFonts w:ascii="Times New Roman" w:hAnsi="Times New Roman"/>
          <w:spacing w:val="-2"/>
          <w:sz w:val="28"/>
          <w:szCs w:val="28"/>
        </w:rPr>
        <w:t>общеразвивающим</w:t>
      </w:r>
      <w:proofErr w:type="spellEnd"/>
      <w:r w:rsidRPr="00692C80">
        <w:rPr>
          <w:rFonts w:ascii="Times New Roman" w:hAnsi="Times New Roman"/>
          <w:spacing w:val="-2"/>
          <w:sz w:val="28"/>
          <w:szCs w:val="28"/>
        </w:rPr>
        <w:t xml:space="preserve"> программам «Русский язык как иностранный: элементарный уровень», «Русский язык как иностранный: базовый уровень», «Русский язык как иностранный: первый уровень»;</w:t>
      </w:r>
    </w:p>
    <w:p w:rsidR="00692C80" w:rsidRPr="00692C80" w:rsidRDefault="00692C80" w:rsidP="00692C80">
      <w:pPr>
        <w:tabs>
          <w:tab w:val="left" w:pos="5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– реализуется программа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социокультурной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адаптации </w:t>
      </w:r>
      <w:proofErr w:type="gram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иностранных</w:t>
      </w:r>
      <w:proofErr w:type="gram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обучающихся. В 2016–2017 гг. иностранные студенты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УлГПУ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в 11-и международных мероприятиях (Москва, Казань, Екатеринбург, Арзамас, Анапа). В мае 2017 года создано и начало свою работу студенческое объединение «Ассоциация иностранных студентов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УлГПУ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92C80" w:rsidRPr="00692C80" w:rsidRDefault="00692C80" w:rsidP="00692C80">
      <w:pPr>
        <w:pStyle w:val="a3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–  работает организованный с 2015 года </w:t>
      </w:r>
      <w:r w:rsidRPr="00692C80">
        <w:rPr>
          <w:rFonts w:ascii="Times New Roman" w:hAnsi="Times New Roman"/>
          <w:sz w:val="28"/>
          <w:szCs w:val="28"/>
        </w:rPr>
        <w:t>Центр тестирования иностранных граждан (Локальный центр тестирования по соглашению с Государственным институтом русского языка им. А.С. Пушкина). В 2015–2017 гг. тестирование прошли 300 мигрантов, доходы вуза составили 1,5 млн. рублей;</w:t>
      </w:r>
    </w:p>
    <w:p w:rsidR="00692C80" w:rsidRPr="00692C80" w:rsidRDefault="00692C80" w:rsidP="00692C80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 с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года начало свою работу подготовительное отделение для иностранных граждан. В 2016–2017 учебном году на его базе прошли обучение 33 слушателя из Туркменистана, Сирии, Палестины, Ирака. 50% обучающихся (17 человек) подготовительного отделения стали студентами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УлГПУ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. В 2017–2018 учебном году набор на подготовительное отделение составил 40 человек, из которых 15 человек зачислены в вуз по квотам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РФ. </w:t>
      </w:r>
      <w:proofErr w:type="gram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подготовительном отделении обучаются слушатели из 13-и стран мира (Туркменистан, Болгария,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Кот-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д’Ивуар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, Вьетнам, Эквадор, Венесуэла, Ирак, Индонезия, Конго, Египет, Йемен, Пакистан, Палестина).  </w:t>
      </w:r>
      <w:proofErr w:type="gramEnd"/>
    </w:p>
    <w:p w:rsidR="00692C80" w:rsidRPr="00692C80" w:rsidRDefault="00692C80" w:rsidP="00692C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Плана мероприятий по развитию экспорта образовательных услуг количество иностранных студентов, обучающихся по основным образовательным программам, увеличилось в 26 раз (с 13 до 339 человек). В 2017 году доля иностранных студентов составила 6,4% от приведённого контингента.</w:t>
      </w:r>
      <w:r w:rsidRPr="00692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УлГПУ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обучаются студенты и аспиранты, представляющие 11 стран мира (</w:t>
      </w:r>
      <w:r w:rsidRPr="00692C80">
        <w:rPr>
          <w:rFonts w:ascii="Times New Roman" w:hAnsi="Times New Roman"/>
          <w:sz w:val="28"/>
          <w:szCs w:val="28"/>
        </w:rPr>
        <w:t>Туркменистан, Украина, Казахстан, Азербайджан, Армения, Узбекистан, Белоруссия, Молдова, Вьетнам, Китай, Египет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), а с учётом слушателей подготовительного отделения – 21-ой страны мира.</w:t>
      </w:r>
      <w:proofErr w:type="gramEnd"/>
    </w:p>
    <w:p w:rsidR="00692C80" w:rsidRPr="00692C80" w:rsidRDefault="00692C80" w:rsidP="00692C80">
      <w:pPr>
        <w:tabs>
          <w:tab w:val="left" w:pos="3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Поступление внебюджетных средств от обучения иностранных студентов в 2017–2018 учебном году увеличилось по сравнению с предыдущим годом в 3,5 раза и составляет 23,3 млн. рублей при минимальных затратах на проведение рекламно-маркетинговых мероприятий.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</w:p>
    <w:p w:rsidR="00692C80" w:rsidRPr="00692C80" w:rsidRDefault="00692C80" w:rsidP="00692C80">
      <w:pPr>
        <w:tabs>
          <w:tab w:val="left" w:pos="3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Учёный совет отмечает, что в современных условиях эффективная организация международного сотрудничества в университете является не только нормой жизни, но и важнейшей национальной задачей, зафиксированной в приоритетном проекте  «Развитие экспортного потенциала российской системы образования» на 2017–2025 гг. (утверждён </w:t>
      </w:r>
      <w:r w:rsidRPr="00692C80">
        <w:rPr>
          <w:rFonts w:ascii="Times New Roman" w:hAnsi="Times New Roman"/>
          <w:sz w:val="28"/>
          <w:szCs w:val="28"/>
        </w:rPr>
        <w:t>президиумом Совета при Президенте Российской Федерации по стратегическому развитию и приоритетным проектам (протокол от 30 мая 2017 г. № 6)), федеральной</w:t>
      </w:r>
      <w:proofErr w:type="gramEnd"/>
      <w:r w:rsidRPr="00692C80">
        <w:rPr>
          <w:rFonts w:ascii="Times New Roman" w:hAnsi="Times New Roman"/>
          <w:sz w:val="28"/>
          <w:szCs w:val="28"/>
        </w:rPr>
        <w:t xml:space="preserve"> целевой программе «Русский язык» на 2016–2020 гг., федеральной государственной целевой программе «Развитие образования» на 2013–2020 гг.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92C80" w:rsidRPr="00692C80" w:rsidRDefault="00692C80" w:rsidP="00692C80">
      <w:pPr>
        <w:tabs>
          <w:tab w:val="left" w:pos="510"/>
        </w:tabs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ab/>
        <w:t>Учёный совет подчёркивает необходимость объединения усилий и улучшения координации действий всех структурных подразделений, факультетов и кафедр вуза для развития сферы международного сотрудничества, повышения уровня академической мобильности преподавателей и студентов, улучшения качества приёма иностранных абитуриентов и слушателей, участия в международных научно-образовательных программах и проектах.</w:t>
      </w:r>
    </w:p>
    <w:p w:rsidR="00692C80" w:rsidRPr="00692C80" w:rsidRDefault="00692C80" w:rsidP="00692C80">
      <w:pPr>
        <w:keepNext/>
        <w:keepLines/>
        <w:spacing w:after="0" w:line="240" w:lineRule="auto"/>
        <w:ind w:left="3360" w:right="-1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Учёный совет постановляет: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Cs/>
          <w:sz w:val="28"/>
          <w:szCs w:val="28"/>
          <w:lang w:eastAsia="ru-RU"/>
        </w:rPr>
        <w:t>1. Обеспечить увеличения числа иностранных граждан, обучающихся по образовательным программам высшего образования – программам подготовки научно-педагогических кадров.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Отв.: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проректор по научной работе, советник при ректорате.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Срок: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01.10.2018 г.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2. Принять участие в 2018 году в международных образовательных выставках</w:t>
      </w:r>
      <w:proofErr w:type="gram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Отв.: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проректор по финансово-правовой деятельности и управлению персоналом, проректор по научной работе, проректор по учебно-методической работе, советник при ректорате. 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Срок: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01.10.2018 г.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Разработать Положение о порядке вселения в студенческое общежитие 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УлГПУ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проживания в нём иностранных абитуриентов и иностранных обучающихся.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Отв.: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проректор по административно-хозяйственной деятельности и безопасности, и.о. проректора по социальному развитию и воспитательной работе, советник при ректорате. 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Срок: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01.05.2018 г.</w:t>
      </w:r>
    </w:p>
    <w:p w:rsidR="00692C80" w:rsidRPr="00692C80" w:rsidRDefault="00692C80" w:rsidP="00692C80">
      <w:pPr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Разработать Положения об </w:t>
      </w:r>
      <w:proofErr w:type="spellStart"/>
      <w:r w:rsidRPr="00692C80">
        <w:rPr>
          <w:rFonts w:ascii="Times New Roman" w:eastAsia="Times New Roman" w:hAnsi="Times New Roman"/>
          <w:bCs/>
          <w:sz w:val="28"/>
          <w:szCs w:val="28"/>
          <w:lang w:eastAsia="ru-RU"/>
        </w:rPr>
        <w:t>ассистентуре-стажировке</w:t>
      </w:r>
      <w:proofErr w:type="spellEnd"/>
      <w:r w:rsidRPr="00692C80">
        <w:rPr>
          <w:rFonts w:ascii="Times New Roman" w:eastAsia="Times New Roman" w:hAnsi="Times New Roman"/>
          <w:bCs/>
          <w:sz w:val="28"/>
          <w:szCs w:val="28"/>
          <w:lang w:eastAsia="ru-RU"/>
        </w:rPr>
        <w:t>, о международной академической мобильности профессорско-преподавательского состава.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Отв.: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проректор по финансово-правовой деятельности и управлению персоналом, проректор по научной работе, проректор по учебно-методической работе, советник при ректорате.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Срок: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01.02.2018 г.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 Осуществить участие вуза в проекте «Развитие экспорта образовательных услуг» через  организацию летней школы для иностранных граждан, работу партнёрской сети «Институт Пушкина», реализацию программы «Послы русского языка», международных образовательных программах </w:t>
      </w:r>
      <w:r w:rsidRPr="00692C8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Erasmus</w:t>
      </w:r>
      <w:r w:rsidRPr="00692C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692C8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TEMPUS</w:t>
      </w:r>
      <w:r w:rsidRPr="00692C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др.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Отв.: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проректор по финансово-правовой деятельности и управлению персоналом, проректор по учебно-методической работе, проректор по научной работе, проректор по административно-хозяйственной деятельности и безопасности, и.о. проректора по социальному развитию и воспитательной работе, советник при ректорате, декан историко-филологического факультета, декан факультета иностранных языков. 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Срок: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01.05.2018 г.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6. Разработать план мероприятий для долгосрочного участия преподавателей и сотрудников университета в программах международной академической мобильности. </w:t>
      </w:r>
    </w:p>
    <w:p w:rsidR="00692C80" w:rsidRPr="00692C80" w:rsidRDefault="00692C80" w:rsidP="00692C80">
      <w:pPr>
        <w:spacing w:after="0" w:line="240" w:lineRule="auto"/>
        <w:ind w:left="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Отв.: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проректор по финансово-правовой деятельности и управлению персоналом, проректор по учебно-методической работе, декан историко-филологического факультета, декан факультета иностранных языков, советник при ректорате. 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Срок: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01.03.2018 г.</w:t>
      </w:r>
    </w:p>
    <w:p w:rsidR="00692C80" w:rsidRPr="00692C80" w:rsidRDefault="00692C80" w:rsidP="00692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 xml:space="preserve"> </w:t>
      </w:r>
    </w:p>
    <w:p w:rsidR="00692C80" w:rsidRPr="00692C80" w:rsidRDefault="00692C80" w:rsidP="00692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(Голосовали единогласно)</w:t>
      </w:r>
    </w:p>
    <w:p w:rsidR="00692C80" w:rsidRDefault="00692C80" w:rsidP="00692C80">
      <w:pPr>
        <w:pStyle w:val="a3"/>
        <w:tabs>
          <w:tab w:val="left" w:pos="284"/>
        </w:tabs>
        <w:autoSpaceDN w:val="0"/>
        <w:spacing w:after="0" w:line="240" w:lineRule="auto"/>
        <w:ind w:left="0" w:hanging="1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C80" w:rsidRPr="00E2787F" w:rsidRDefault="00692C80" w:rsidP="00692C80">
      <w:pPr>
        <w:pStyle w:val="a3"/>
        <w:tabs>
          <w:tab w:val="left" w:pos="284"/>
        </w:tabs>
        <w:autoSpaceDN w:val="0"/>
        <w:spacing w:after="0" w:line="240" w:lineRule="auto"/>
        <w:ind w:left="295" w:hanging="2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C80" w:rsidRPr="00692C80" w:rsidRDefault="00692C80" w:rsidP="00692C80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C80">
        <w:rPr>
          <w:rFonts w:ascii="Times New Roman" w:eastAsia="Times New Roman" w:hAnsi="Times New Roman"/>
          <w:b/>
          <w:sz w:val="28"/>
          <w:szCs w:val="28"/>
          <w:lang w:eastAsia="ru-RU"/>
        </w:rPr>
        <w:t>О работе научно-образовательного центра «</w:t>
      </w:r>
      <w:proofErr w:type="spellStart"/>
      <w:r w:rsidRPr="00692C80">
        <w:rPr>
          <w:rFonts w:ascii="Times New Roman" w:eastAsia="Times New Roman" w:hAnsi="Times New Roman"/>
          <w:b/>
          <w:sz w:val="28"/>
          <w:szCs w:val="28"/>
          <w:lang w:eastAsia="ru-RU"/>
        </w:rPr>
        <w:t>У-Знайки</w:t>
      </w:r>
      <w:proofErr w:type="spellEnd"/>
      <w:r w:rsidRPr="00692C80">
        <w:rPr>
          <w:rFonts w:ascii="Times New Roman" w:eastAsia="Times New Roman" w:hAnsi="Times New Roman"/>
          <w:b/>
          <w:sz w:val="28"/>
          <w:szCs w:val="28"/>
          <w:lang w:eastAsia="ru-RU"/>
        </w:rPr>
        <w:t>» как компонента университетского комплекса.</w:t>
      </w:r>
    </w:p>
    <w:p w:rsidR="00692C80" w:rsidRPr="00692C80" w:rsidRDefault="00692C80" w:rsidP="00692C80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87F">
        <w:rPr>
          <w:rFonts w:ascii="Times New Roman" w:eastAsia="Times New Roman" w:hAnsi="Times New Roman"/>
          <w:sz w:val="28"/>
          <w:szCs w:val="28"/>
          <w:lang w:eastAsia="ru-RU"/>
        </w:rPr>
        <w:t xml:space="preserve">(Доклад заместителя директора по методической и воспитательной работе 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научно-образовательного центра «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У-Знайки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» Вишняковой А.А.)</w:t>
      </w:r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92C80">
        <w:rPr>
          <w:rFonts w:ascii="Times New Roman" w:hAnsi="Times New Roman"/>
          <w:sz w:val="28"/>
          <w:szCs w:val="28"/>
        </w:rPr>
        <w:t>Заслушав и обсудив доклад заместителя директора по методической и воспитательной работе научно-образовательного центра 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 А.А. Вишняковой о деятельности научно-образовательного центра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 (НОЦ 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») как компонента университетского комплекса, Учёный </w:t>
      </w:r>
      <w:r w:rsidRPr="00692C80">
        <w:rPr>
          <w:rFonts w:ascii="Times New Roman" w:hAnsi="Times New Roman"/>
          <w:sz w:val="28"/>
          <w:szCs w:val="28"/>
        </w:rPr>
        <w:lastRenderedPageBreak/>
        <w:t xml:space="preserve">совет отмечает, что созданный в 2015 году в </w:t>
      </w:r>
      <w:proofErr w:type="spellStart"/>
      <w:r w:rsidRPr="00692C80">
        <w:rPr>
          <w:rFonts w:ascii="Times New Roman" w:hAnsi="Times New Roman"/>
          <w:sz w:val="28"/>
          <w:szCs w:val="28"/>
        </w:rPr>
        <w:t>УлГПУ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 им. И.Н.Ульянова 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» решает задачи в области дошкольного и высшего образования на основе </w:t>
      </w:r>
      <w:proofErr w:type="spellStart"/>
      <w:r w:rsidRPr="00692C8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 подхода с использованием научно-образовательного потенциала</w:t>
      </w:r>
      <w:proofErr w:type="gramEnd"/>
      <w:r w:rsidRPr="00692C80">
        <w:rPr>
          <w:rFonts w:ascii="Times New Roman" w:hAnsi="Times New Roman"/>
          <w:sz w:val="28"/>
          <w:szCs w:val="28"/>
        </w:rPr>
        <w:t xml:space="preserve"> университета.</w:t>
      </w:r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Открытию 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 способствовали следующие сложившиеся условия: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 xml:space="preserve">– накопленный педагогический опыт (авторские программы преподавателей </w:t>
      </w:r>
      <w:proofErr w:type="spellStart"/>
      <w:r w:rsidRPr="00692C80">
        <w:rPr>
          <w:rFonts w:ascii="Times New Roman" w:hAnsi="Times New Roman"/>
          <w:sz w:val="28"/>
          <w:szCs w:val="28"/>
        </w:rPr>
        <w:t>УлГПУ</w:t>
      </w:r>
      <w:proofErr w:type="spellEnd"/>
      <w:r w:rsidRPr="00692C80">
        <w:rPr>
          <w:rFonts w:ascii="Times New Roman" w:hAnsi="Times New Roman"/>
          <w:sz w:val="28"/>
          <w:szCs w:val="28"/>
        </w:rPr>
        <w:t>);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 xml:space="preserve">– необходимость собственной базы для практики студентов, апробации программ, написания </w:t>
      </w:r>
      <w:proofErr w:type="spellStart"/>
      <w:r w:rsidRPr="00692C80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 работ, волонтёрской деятельности;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запрос родителей (создание инновационной образовательной среды, направленной на всестороннее гармоничное развитие личности ребёнка);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принятие проекта 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» администрацией </w:t>
      </w:r>
      <w:proofErr w:type="gramStart"/>
      <w:r w:rsidRPr="00692C80">
        <w:rPr>
          <w:rFonts w:ascii="Times New Roman" w:hAnsi="Times New Roman"/>
          <w:sz w:val="28"/>
          <w:szCs w:val="28"/>
        </w:rPr>
        <w:t>г</w:t>
      </w:r>
      <w:proofErr w:type="gramEnd"/>
      <w:r w:rsidRPr="00692C80">
        <w:rPr>
          <w:rFonts w:ascii="Times New Roman" w:hAnsi="Times New Roman"/>
          <w:sz w:val="28"/>
          <w:szCs w:val="28"/>
        </w:rPr>
        <w:t>. Ульяновска.</w:t>
      </w:r>
    </w:p>
    <w:p w:rsidR="00692C80" w:rsidRPr="00692C80" w:rsidRDefault="00692C80" w:rsidP="00692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Приоритетными направлениями НОЦ являются: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 обеспечение качественного дошкольного образования с использованием ресурсов педагогического университета;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создание психолого-педагогических условий для личностного и творческого развития детей дошкольного возраста, накопления ими опыта социального взаимодействия, охраны и укрепления их физического и психического здоровья;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организация активного взаимодействия с семьями воспитанников и вовлечение родителей в образовательный процесс;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 xml:space="preserve">– развитие профессиональной позиции  студентов – будущих  педагогов дошкольного образования; 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участие педагогического коллектива в профессиональном обучении студентов;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 xml:space="preserve">– участие в реализации </w:t>
      </w:r>
      <w:proofErr w:type="gramStart"/>
      <w:r w:rsidRPr="00692C80">
        <w:rPr>
          <w:rFonts w:ascii="Times New Roman" w:hAnsi="Times New Roman"/>
          <w:sz w:val="28"/>
          <w:szCs w:val="28"/>
        </w:rPr>
        <w:t>программ повышения квалификации педагогов дошкольных образовательных организаций города</w:t>
      </w:r>
      <w:proofErr w:type="gramEnd"/>
      <w:r w:rsidRPr="00692C80">
        <w:rPr>
          <w:rFonts w:ascii="Times New Roman" w:hAnsi="Times New Roman"/>
          <w:sz w:val="28"/>
          <w:szCs w:val="28"/>
        </w:rPr>
        <w:t xml:space="preserve"> и области;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расширение спектра дополнительных образовательных услуг.</w:t>
      </w:r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C80">
        <w:rPr>
          <w:rFonts w:ascii="Times New Roman" w:hAnsi="Times New Roman"/>
          <w:sz w:val="28"/>
          <w:szCs w:val="28"/>
        </w:rPr>
        <w:t>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 реализует основную образовательную программу «Мир открытий», которая разработана в соответствии с ФГОС ДО и включена в навигатор образовательных программ ДО; кроме того, в работе используются авторские (парциальные) программы, разработанные преподавателями университета.</w:t>
      </w:r>
      <w:proofErr w:type="gramEnd"/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Инновационная деятельность 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 заключается в том, что в рамках университетского комплекса Центр является компонентом непрерывного образования как: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база для проведения научно-</w:t>
      </w:r>
      <w:proofErr w:type="gramStart"/>
      <w:r w:rsidRPr="00692C80">
        <w:rPr>
          <w:rFonts w:ascii="Times New Roman" w:hAnsi="Times New Roman"/>
          <w:sz w:val="28"/>
          <w:szCs w:val="28"/>
        </w:rPr>
        <w:t>методических исследований</w:t>
      </w:r>
      <w:proofErr w:type="gramEnd"/>
      <w:r w:rsidRPr="00692C80">
        <w:rPr>
          <w:rFonts w:ascii="Times New Roman" w:hAnsi="Times New Roman"/>
          <w:sz w:val="28"/>
          <w:szCs w:val="28"/>
        </w:rPr>
        <w:t>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ресурсный центр распространения и трансляции инноваций;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площадка для непрерывной практической подготовки студентов;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– площадка для системы повышения квалификации и переподготовки кадров.</w:t>
      </w:r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С 2016 по 2020 гг. 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» работает как инновационная площадка Российской академии образования на основании постановления Экспертного совета по работе инновационных площадок РАО; тема площадки: «Создание научно-образовательного центра (детского сада) в рамках университетского комплекса </w:t>
      </w:r>
      <w:proofErr w:type="spellStart"/>
      <w:r w:rsidRPr="00692C80">
        <w:rPr>
          <w:rFonts w:ascii="Times New Roman" w:hAnsi="Times New Roman"/>
          <w:sz w:val="28"/>
          <w:szCs w:val="28"/>
        </w:rPr>
        <w:t>УлГПУ</w:t>
      </w:r>
      <w:proofErr w:type="spellEnd"/>
      <w:r w:rsidRPr="00692C80">
        <w:rPr>
          <w:rFonts w:ascii="Times New Roman" w:hAnsi="Times New Roman"/>
          <w:sz w:val="28"/>
          <w:szCs w:val="28"/>
        </w:rPr>
        <w:t xml:space="preserve">». </w:t>
      </w:r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lastRenderedPageBreak/>
        <w:t>Начиная с 2016 г. произошло расширение количества групп воспитанников в связи  с увеличением численности детей. Так, в 2015–2016 учебном году численность воспитанников составила 38 детей (2 группы), на начало 2017–2018 учебного года – 59 детей (3 группы). Численность студентов, проходящих педагогическую практику на базе Центра, увеличилась с 30 человек  в год до 60. В соответствии с расширением количества групп произошло увеличение численности педагогических работников; кроме того, в 2017 году были введены в штат сотрудников узкие специалисты: музыкальный руководитель, учитель-логопед, учитель английского языка. Это, в свою очередь, позволило включить в образовательную деятельность дополнительные занятия: музыкальные, логопедические, английского языка.</w:t>
      </w:r>
    </w:p>
    <w:p w:rsidR="00692C80" w:rsidRPr="00692C80" w:rsidRDefault="00692C80" w:rsidP="00692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Вместе с тем Учёный совет отмечает необходимость объединения усилий и улучшения координации действий всех структурных подразделений вуза для дальнейшего плодотворного развития НОЦ «</w:t>
      </w:r>
      <w:proofErr w:type="spellStart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У-Знайки</w:t>
      </w:r>
      <w:proofErr w:type="spellEnd"/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92C80" w:rsidRPr="00692C80" w:rsidRDefault="00692C80" w:rsidP="00F532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 xml:space="preserve"> </w:t>
      </w:r>
      <w:r w:rsidR="00F532B3">
        <w:rPr>
          <w:rFonts w:ascii="Times New Roman" w:hAnsi="Times New Roman"/>
          <w:sz w:val="28"/>
          <w:szCs w:val="28"/>
        </w:rPr>
        <w:t xml:space="preserve">                           </w:t>
      </w:r>
      <w:r w:rsidRPr="00692C80">
        <w:rPr>
          <w:rFonts w:ascii="Times New Roman" w:hAnsi="Times New Roman"/>
          <w:b/>
          <w:sz w:val="28"/>
          <w:szCs w:val="28"/>
        </w:rPr>
        <w:t>Уч</w:t>
      </w:r>
      <w:r w:rsidR="008126D6">
        <w:rPr>
          <w:rFonts w:ascii="Times New Roman" w:hAnsi="Times New Roman"/>
          <w:b/>
          <w:sz w:val="28"/>
          <w:szCs w:val="28"/>
        </w:rPr>
        <w:t>ё</w:t>
      </w:r>
      <w:r w:rsidRPr="00692C80">
        <w:rPr>
          <w:rFonts w:ascii="Times New Roman" w:hAnsi="Times New Roman"/>
          <w:b/>
          <w:sz w:val="28"/>
          <w:szCs w:val="28"/>
        </w:rPr>
        <w:t>ный совет постановляет: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 xml:space="preserve">1. Разработать </w:t>
      </w:r>
      <w:bookmarkStart w:id="0" w:name="_GoBack"/>
      <w:bookmarkEnd w:id="0"/>
      <w:r w:rsidRPr="00692C80">
        <w:rPr>
          <w:rFonts w:ascii="Times New Roman" w:hAnsi="Times New Roman"/>
          <w:sz w:val="28"/>
          <w:szCs w:val="28"/>
        </w:rPr>
        <w:t>план совместных мероприятий на 2018 год 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 с факультетами вуза.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C80">
        <w:rPr>
          <w:rFonts w:ascii="Times New Roman" w:hAnsi="Times New Roman"/>
          <w:i/>
          <w:sz w:val="28"/>
          <w:szCs w:val="28"/>
        </w:rPr>
        <w:t xml:space="preserve">Срок: </w:t>
      </w:r>
      <w:r w:rsidRPr="00692C80">
        <w:rPr>
          <w:rFonts w:ascii="Times New Roman" w:hAnsi="Times New Roman"/>
          <w:sz w:val="28"/>
          <w:szCs w:val="28"/>
        </w:rPr>
        <w:t>до 18.12.2017 г.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i/>
          <w:sz w:val="28"/>
          <w:szCs w:val="28"/>
        </w:rPr>
        <w:t>Отв.:</w:t>
      </w:r>
      <w:r w:rsidRPr="00692C80">
        <w:rPr>
          <w:rFonts w:ascii="Times New Roman" w:eastAsia="Times New Roman" w:hAnsi="Times New Roman"/>
          <w:sz w:val="28"/>
          <w:szCs w:val="28"/>
          <w:lang w:eastAsia="ru-RU"/>
        </w:rPr>
        <w:t xml:space="preserve"> и.о. проректора по социальному развитию и воспитательной работе.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2. Организовать курсы повышения квалификации для сотрудников и педагогов НОЦ «</w:t>
      </w:r>
      <w:proofErr w:type="gramStart"/>
      <w:r w:rsidRPr="00692C80">
        <w:rPr>
          <w:rFonts w:ascii="Times New Roman" w:hAnsi="Times New Roman"/>
          <w:sz w:val="28"/>
          <w:szCs w:val="28"/>
        </w:rPr>
        <w:t>У-</w:t>
      </w:r>
      <w:proofErr w:type="gramEnd"/>
      <w:r w:rsidRPr="00692C80">
        <w:rPr>
          <w:rFonts w:ascii="Times New Roman" w:hAnsi="Times New Roman"/>
          <w:sz w:val="28"/>
          <w:szCs w:val="28"/>
        </w:rPr>
        <w:t> </w:t>
      </w:r>
      <w:proofErr w:type="spellStart"/>
      <w:r w:rsidRPr="00692C80">
        <w:rPr>
          <w:rFonts w:ascii="Times New Roman" w:hAnsi="Times New Roman"/>
          <w:sz w:val="28"/>
          <w:szCs w:val="28"/>
        </w:rPr>
        <w:t>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C80">
        <w:rPr>
          <w:rFonts w:ascii="Times New Roman" w:hAnsi="Times New Roman"/>
          <w:i/>
          <w:sz w:val="28"/>
          <w:szCs w:val="28"/>
        </w:rPr>
        <w:t xml:space="preserve">Срок: </w:t>
      </w:r>
      <w:r w:rsidRPr="00692C80">
        <w:rPr>
          <w:rFonts w:ascii="Times New Roman" w:hAnsi="Times New Roman"/>
          <w:sz w:val="28"/>
          <w:szCs w:val="28"/>
        </w:rPr>
        <w:t>в течение 2017–2018 учебного года.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i/>
          <w:sz w:val="28"/>
          <w:szCs w:val="28"/>
        </w:rPr>
        <w:t>Отв.:</w:t>
      </w:r>
      <w:r w:rsidRPr="00692C80">
        <w:rPr>
          <w:rFonts w:ascii="Times New Roman" w:hAnsi="Times New Roman"/>
          <w:sz w:val="28"/>
          <w:szCs w:val="28"/>
        </w:rPr>
        <w:t xml:space="preserve"> декан факультета дополнительного образования.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3. Осуществлять контроль состояния хозяйственной части НОЦ «</w:t>
      </w:r>
      <w:proofErr w:type="spellStart"/>
      <w:r w:rsidRPr="00692C80">
        <w:rPr>
          <w:rFonts w:ascii="Times New Roman" w:hAnsi="Times New Roman"/>
          <w:sz w:val="28"/>
          <w:szCs w:val="28"/>
        </w:rPr>
        <w:t>У-Знайки</w:t>
      </w:r>
      <w:proofErr w:type="spellEnd"/>
      <w:r w:rsidRPr="00692C80">
        <w:rPr>
          <w:rFonts w:ascii="Times New Roman" w:hAnsi="Times New Roman"/>
          <w:sz w:val="28"/>
          <w:szCs w:val="28"/>
        </w:rPr>
        <w:t>».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C80">
        <w:rPr>
          <w:rFonts w:ascii="Times New Roman" w:hAnsi="Times New Roman"/>
          <w:i/>
          <w:sz w:val="28"/>
          <w:szCs w:val="28"/>
        </w:rPr>
        <w:t xml:space="preserve">Срок: </w:t>
      </w:r>
      <w:r w:rsidRPr="00692C80">
        <w:rPr>
          <w:rFonts w:ascii="Times New Roman" w:hAnsi="Times New Roman"/>
          <w:sz w:val="28"/>
          <w:szCs w:val="28"/>
        </w:rPr>
        <w:t>ежемесячно.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i/>
          <w:sz w:val="28"/>
          <w:szCs w:val="28"/>
        </w:rPr>
        <w:t>Отв.:</w:t>
      </w:r>
      <w:r w:rsidRPr="00692C80">
        <w:rPr>
          <w:rFonts w:ascii="Times New Roman" w:hAnsi="Times New Roman"/>
          <w:sz w:val="28"/>
          <w:szCs w:val="28"/>
        </w:rPr>
        <w:t xml:space="preserve"> проректор по административно-хозяйственной работе и безопасности.</w:t>
      </w:r>
    </w:p>
    <w:p w:rsidR="00692C80" w:rsidRPr="00692C80" w:rsidRDefault="00692C80" w:rsidP="0069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C80" w:rsidRPr="00692C80" w:rsidRDefault="00692C80" w:rsidP="00692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C80">
        <w:rPr>
          <w:rFonts w:ascii="Times New Roman" w:hAnsi="Times New Roman"/>
          <w:sz w:val="28"/>
          <w:szCs w:val="28"/>
        </w:rPr>
        <w:t>(Голосовали единогласно)</w:t>
      </w:r>
    </w:p>
    <w:p w:rsidR="006F6AA7" w:rsidRDefault="006F6AA7" w:rsidP="006F6AA7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sectPr w:rsidR="006F6AA7" w:rsidSect="00692C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F19"/>
    <w:multiLevelType w:val="hybridMultilevel"/>
    <w:tmpl w:val="29307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5C21D3"/>
    <w:multiLevelType w:val="hybridMultilevel"/>
    <w:tmpl w:val="3AD8CEF8"/>
    <w:lvl w:ilvl="0" w:tplc="BCF48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0F4E"/>
    <w:multiLevelType w:val="multilevel"/>
    <w:tmpl w:val="53F073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B0"/>
    <w:rsid w:val="00036BE3"/>
    <w:rsid w:val="00037990"/>
    <w:rsid w:val="000C35A9"/>
    <w:rsid w:val="000D4B63"/>
    <w:rsid w:val="000E194C"/>
    <w:rsid w:val="00107F9E"/>
    <w:rsid w:val="00141FC9"/>
    <w:rsid w:val="001B500D"/>
    <w:rsid w:val="001E2596"/>
    <w:rsid w:val="00253411"/>
    <w:rsid w:val="002853DB"/>
    <w:rsid w:val="002B0B64"/>
    <w:rsid w:val="002C4D09"/>
    <w:rsid w:val="002F5267"/>
    <w:rsid w:val="002F66E3"/>
    <w:rsid w:val="00353ED1"/>
    <w:rsid w:val="00395DAA"/>
    <w:rsid w:val="004C168D"/>
    <w:rsid w:val="004C6666"/>
    <w:rsid w:val="0056758C"/>
    <w:rsid w:val="005763A3"/>
    <w:rsid w:val="00584B02"/>
    <w:rsid w:val="005A4DC2"/>
    <w:rsid w:val="005C5970"/>
    <w:rsid w:val="005E45C1"/>
    <w:rsid w:val="005F5850"/>
    <w:rsid w:val="0064312C"/>
    <w:rsid w:val="00692C80"/>
    <w:rsid w:val="00693E13"/>
    <w:rsid w:val="006C324C"/>
    <w:rsid w:val="006F5ECD"/>
    <w:rsid w:val="006F6AA7"/>
    <w:rsid w:val="0071406C"/>
    <w:rsid w:val="007C3D98"/>
    <w:rsid w:val="007D5052"/>
    <w:rsid w:val="007E5D20"/>
    <w:rsid w:val="0081051E"/>
    <w:rsid w:val="008126D6"/>
    <w:rsid w:val="008211C9"/>
    <w:rsid w:val="008668A2"/>
    <w:rsid w:val="008F4591"/>
    <w:rsid w:val="0090778E"/>
    <w:rsid w:val="0091568B"/>
    <w:rsid w:val="00956B88"/>
    <w:rsid w:val="009D5393"/>
    <w:rsid w:val="009F0C0B"/>
    <w:rsid w:val="009F519F"/>
    <w:rsid w:val="00A5274A"/>
    <w:rsid w:val="00A77F9F"/>
    <w:rsid w:val="00AA1A50"/>
    <w:rsid w:val="00B778F1"/>
    <w:rsid w:val="00B972FD"/>
    <w:rsid w:val="00BD4DF6"/>
    <w:rsid w:val="00C27B20"/>
    <w:rsid w:val="00C67A80"/>
    <w:rsid w:val="00D11423"/>
    <w:rsid w:val="00DB6D2B"/>
    <w:rsid w:val="00DE5BCD"/>
    <w:rsid w:val="00E266B2"/>
    <w:rsid w:val="00E52474"/>
    <w:rsid w:val="00E7236D"/>
    <w:rsid w:val="00EE20E4"/>
    <w:rsid w:val="00EE43CE"/>
    <w:rsid w:val="00EF75B0"/>
    <w:rsid w:val="00F12B58"/>
    <w:rsid w:val="00F15079"/>
    <w:rsid w:val="00F27F6A"/>
    <w:rsid w:val="00F40575"/>
    <w:rsid w:val="00F532B3"/>
    <w:rsid w:val="00F704BE"/>
    <w:rsid w:val="00F9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B0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27F6A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2">
    <w:name w:val="Основной текст с отступом 32"/>
    <w:basedOn w:val="a"/>
    <w:rsid w:val="009F519F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51">
    <w:name w:val="style51"/>
    <w:basedOn w:val="a"/>
    <w:rsid w:val="009F519F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4CA3D0"/>
      <w:sz w:val="21"/>
      <w:szCs w:val="21"/>
      <w:lang w:eastAsia="ru-RU"/>
    </w:rPr>
  </w:style>
  <w:style w:type="character" w:customStyle="1" w:styleId="a4">
    <w:name w:val="Подпись к таблице_"/>
    <w:basedOn w:val="a0"/>
    <w:link w:val="1"/>
    <w:uiPriority w:val="99"/>
    <w:locked/>
    <w:rsid w:val="009F51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4"/>
    <w:uiPriority w:val="99"/>
    <w:rsid w:val="009F519F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sz w:val="21"/>
      <w:szCs w:val="21"/>
    </w:rPr>
  </w:style>
  <w:style w:type="character" w:styleId="a5">
    <w:name w:val="Strong"/>
    <w:basedOn w:val="a0"/>
    <w:uiPriority w:val="22"/>
    <w:qFormat/>
    <w:rsid w:val="009F519F"/>
    <w:rPr>
      <w:b/>
      <w:bCs/>
    </w:rPr>
  </w:style>
  <w:style w:type="paragraph" w:styleId="a6">
    <w:name w:val="No Spacing"/>
    <w:link w:val="a7"/>
    <w:uiPriority w:val="1"/>
    <w:qFormat/>
    <w:rsid w:val="00BD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D4D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BD4DF6"/>
    <w:rPr>
      <w:color w:val="0000FF"/>
      <w:u w:val="single"/>
    </w:rPr>
  </w:style>
  <w:style w:type="table" w:styleId="a9">
    <w:name w:val="Table Grid"/>
    <w:basedOn w:val="a1"/>
    <w:uiPriority w:val="59"/>
    <w:rsid w:val="006F6AA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2016-08-27T13:34:00Z</dcterms:created>
  <dcterms:modified xsi:type="dcterms:W3CDTF">2017-11-19T18:51:00Z</dcterms:modified>
</cp:coreProperties>
</file>