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2D" w:rsidRPr="002D7A2D" w:rsidRDefault="00D82881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bookmarkStart w:id="0" w:name="_GoBack"/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Здравствуйте. Рады сообщить,</w:t>
      </w:r>
      <w:r w:rsidR="002D7A2D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о </w:t>
      </w: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появлении </w:t>
      </w:r>
      <w:r w:rsidR="002D7A2D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2 вакансий</w:t>
      </w: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в Департаменте наград Администрации Губернатора Ульяновской области</w:t>
      </w:r>
      <w:r w:rsidR="002D7A2D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. </w:t>
      </w:r>
      <w:r w:rsidR="002D7A2D" w:rsidRPr="002D7A2D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Мы ищем двух активных, ответственных и коммуникабельных молодых девушек, готовых стать частью нашей команды!  </w:t>
      </w: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</w:pPr>
      <w:r w:rsidRPr="002D7A2D"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  <w:t>Требования:  </w:t>
      </w: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Возраст: от 18 </w:t>
      </w:r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и старше;</w:t>
      </w: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 </w:t>
      </w:r>
    </w:p>
    <w:p w:rsidR="002D7A2D" w:rsidRPr="00A22663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D82881" w:rsidRPr="00A22663" w:rsidRDefault="00D82881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Образование: высшее образование, либо неоконченное высшее образование (4-5 курсы);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Грамотная устная и письменная речь;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Внимательность, аккуратность и организованность;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Навыки работы с документами и базами данных;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Умение работать в команде и быстро обучаться.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  <w:t>Обязанности: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Подготовка и оформление наградных документов;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Ведение базы данных награжденных лиц;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Взаимодействие с другими департаментами и организациями;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Помощь в организации мероприятий, связанных с награждениями;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Выполнение поручений руководства.  </w:t>
      </w:r>
    </w:p>
    <w:p w:rsidR="00D82881" w:rsidRPr="00A22663" w:rsidRDefault="00D82881" w:rsidP="00D8288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b/>
          <w:color w:val="1A1A1A"/>
          <w:sz w:val="24"/>
          <w:szCs w:val="24"/>
          <w:lang w:eastAsia="ru-RU"/>
        </w:rPr>
        <w:t>Условия: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Официальное трудоустройство;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Возможность профессионального роста и развития;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D82881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Работа в государственной</w:t>
      </w:r>
      <w:r w:rsidR="002D7A2D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структуре;  </w:t>
      </w:r>
    </w:p>
    <w:p w:rsidR="002D7A2D" w:rsidRPr="002D7A2D" w:rsidRDefault="002D7A2D" w:rsidP="00D82881">
      <w:p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A22663" w:rsidRDefault="002D7A2D" w:rsidP="00D828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Дружный коллектив и поддержка наставник</w:t>
      </w:r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а</w:t>
      </w: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.  </w:t>
      </w: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2D7A2D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Если ты хочешь начать карьеру в государственной службе, получить ценный опыт и внести свой вклад в развитие региона, отправляй свое резюме на электронную </w:t>
      </w:r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почту: </w:t>
      </w:r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val="en-US" w:eastAsia="ru-RU"/>
        </w:rPr>
        <w:t>rezerv</w:t>
      </w:r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@</w:t>
      </w:r>
      <w:proofErr w:type="spellStart"/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val="en-US" w:eastAsia="ru-RU"/>
        </w:rPr>
        <w:t>ulregion</w:t>
      </w:r>
      <w:proofErr w:type="spellEnd"/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.</w:t>
      </w:r>
      <w:proofErr w:type="spellStart"/>
      <w:r w:rsidR="00D82881" w:rsidRPr="00A22663">
        <w:rPr>
          <w:rFonts w:ascii="PT Astra Serif" w:eastAsia="Times New Roman" w:hAnsi="PT Astra Serif" w:cs="Arial"/>
          <w:color w:val="1A1A1A"/>
          <w:sz w:val="24"/>
          <w:szCs w:val="24"/>
          <w:lang w:val="en-US" w:eastAsia="ru-RU"/>
        </w:rPr>
        <w:t>ru</w:t>
      </w:r>
      <w:proofErr w:type="spellEnd"/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2D7A2D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 теме письма укажите: "Вакансия в департамент наград".</w:t>
      </w:r>
    </w:p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</w:p>
    <w:p w:rsidR="002D7A2D" w:rsidRPr="002D7A2D" w:rsidRDefault="00D82881" w:rsidP="002D7A2D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2266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Ждем твое резюме!</w:t>
      </w:r>
    </w:p>
    <w:bookmarkEnd w:id="0"/>
    <w:p w:rsidR="002D7A2D" w:rsidRPr="002D7A2D" w:rsidRDefault="002D7A2D" w:rsidP="002D7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D7A2D" w:rsidRDefault="002D7A2D" w:rsidP="002D7A2D"/>
    <w:sectPr w:rsidR="002D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07E"/>
    <w:multiLevelType w:val="hybridMultilevel"/>
    <w:tmpl w:val="13FC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0433F"/>
    <w:multiLevelType w:val="hybridMultilevel"/>
    <w:tmpl w:val="1ABC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2D"/>
    <w:rsid w:val="001F73EE"/>
    <w:rsid w:val="002D7A2D"/>
    <w:rsid w:val="00A22663"/>
    <w:rsid w:val="00D7206B"/>
    <w:rsid w:val="00D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CF3"/>
  <w15:chartTrackingRefBased/>
  <w15:docId w15:val="{5ABB01B5-6DB7-494B-9562-4CE480A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A2D"/>
    <w:rPr>
      <w:b/>
      <w:bCs/>
    </w:rPr>
  </w:style>
  <w:style w:type="paragraph" w:styleId="a4">
    <w:name w:val="Normal (Web)"/>
    <w:basedOn w:val="a"/>
    <w:uiPriority w:val="99"/>
    <w:semiHidden/>
    <w:unhideWhenUsed/>
    <w:rsid w:val="002D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8811-12B2-4024-BE0E-57EB30C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Овченкова Виктория Викторовна</dc:creator>
  <cp:keywords/>
  <dc:description/>
  <cp:lastModifiedBy>Овченкова Виктория Викторовна</cp:lastModifiedBy>
  <cp:revision>2</cp:revision>
  <dcterms:created xsi:type="dcterms:W3CDTF">2025-01-14T06:01:00Z</dcterms:created>
  <dcterms:modified xsi:type="dcterms:W3CDTF">2025-01-14T06:22:00Z</dcterms:modified>
</cp:coreProperties>
</file>